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58BC8906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</w:t>
            </w:r>
            <w:r w:rsidR="00C54A83">
              <w:rPr>
                <w:rFonts w:ascii="Times New Roman" w:hAnsi="Times New Roman" w:cs="Times New Roman"/>
                <w:noProof/>
                <w:sz w:val="24"/>
                <w:lang w:val="et-EE"/>
              </w:rPr>
              <w:t>20-17288</w:t>
            </w:r>
          </w:p>
          <w:p w14:paraId="4B703A81" w14:textId="54845FAF" w:rsidR="007B2A26" w:rsidRPr="001909B6" w:rsidRDefault="00C54A83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21</w:t>
            </w:r>
            <w:r w:rsidR="00CB100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. j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aanuar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5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71DC39F6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</w:t>
      </w:r>
      <w:r w:rsidR="00C54A83">
        <w:rPr>
          <w:rFonts w:ascii="Times New Roman" w:hAnsi="Times New Roman" w:cs="Times New Roman"/>
          <w:sz w:val="24"/>
          <w:lang w:val="et-EE"/>
        </w:rPr>
        <w:t>0-17288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proofErr w:type="spellStart"/>
      <w:r w:rsidR="00C54A83" w:rsidRPr="00C54A83">
        <w:rPr>
          <w:rFonts w:ascii="Times New Roman" w:hAnsi="Times New Roman" w:cs="Times New Roman"/>
          <w:sz w:val="24"/>
          <w:lang w:val="et-EE"/>
        </w:rPr>
        <w:t>Profcentrs</w:t>
      </w:r>
      <w:proofErr w:type="spellEnd"/>
      <w:r w:rsidR="00C54A83" w:rsidRPr="00C54A83">
        <w:rPr>
          <w:rFonts w:ascii="Times New Roman" w:hAnsi="Times New Roman" w:cs="Times New Roman"/>
          <w:sz w:val="24"/>
          <w:lang w:val="et-EE"/>
        </w:rPr>
        <w:t xml:space="preserve"> OÜ</w:t>
      </w:r>
      <w:r w:rsidR="00C54A83">
        <w:rPr>
          <w:rFonts w:ascii="Times New Roman" w:hAnsi="Times New Roman" w:cs="Times New Roman"/>
          <w:sz w:val="24"/>
          <w:lang w:val="et-EE"/>
        </w:rPr>
        <w:t xml:space="preserve"> pankrotimenetluse </w:t>
      </w:r>
      <w:proofErr w:type="spellStart"/>
      <w:r w:rsidR="00C54A83">
        <w:rPr>
          <w:rFonts w:ascii="Times New Roman" w:hAnsi="Times New Roman" w:cs="Times New Roman"/>
          <w:sz w:val="24"/>
          <w:lang w:val="et-EE"/>
        </w:rPr>
        <w:t>järelvalve</w:t>
      </w:r>
      <w:proofErr w:type="spellEnd"/>
      <w:r w:rsidR="00C54A83">
        <w:rPr>
          <w:rFonts w:ascii="Times New Roman" w:hAnsi="Times New Roman" w:cs="Times New Roman"/>
          <w:sz w:val="24"/>
          <w:lang w:val="et-EE"/>
        </w:rPr>
        <w:t xml:space="preserve"> menetlus.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16186477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C54A83">
        <w:rPr>
          <w:rFonts w:ascii="Times New Roman" w:hAnsi="Times New Roman" w:cs="Times New Roman"/>
          <w:sz w:val="24"/>
          <w:lang w:val="et-EE"/>
        </w:rPr>
        <w:t>09.01.2025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pankrotimenetluse raugemise vältimiseks pankrotimenetluse kulude katteks kohtu deposiiti makstava summa suuruseks </w:t>
      </w:r>
      <w:r w:rsidR="00C54A83">
        <w:rPr>
          <w:rFonts w:ascii="Times New Roman" w:hAnsi="Times New Roman" w:cs="Times New Roman"/>
          <w:sz w:val="24"/>
          <w:lang w:val="et-EE"/>
        </w:rPr>
        <w:t>2600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C54A83">
        <w:rPr>
          <w:rFonts w:ascii="Times New Roman" w:hAnsi="Times New Roman" w:cs="Times New Roman"/>
          <w:sz w:val="24"/>
          <w:lang w:val="et-EE"/>
        </w:rPr>
        <w:t>20.01.2025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409F2A5D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C54A83">
        <w:rPr>
          <w:rFonts w:ascii="Times New Roman" w:hAnsi="Times New Roman" w:cs="Times New Roman"/>
          <w:b/>
          <w:sz w:val="24"/>
          <w:lang w:val="et-EE"/>
        </w:rPr>
        <w:t>11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C54A83">
        <w:rPr>
          <w:rFonts w:ascii="Times New Roman" w:hAnsi="Times New Roman" w:cs="Times New Roman"/>
          <w:b/>
          <w:sz w:val="24"/>
          <w:lang w:val="et-EE"/>
        </w:rPr>
        <w:t>veebruar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 w:rsidR="00C54A83">
        <w:rPr>
          <w:rFonts w:ascii="Times New Roman" w:hAnsi="Times New Roman" w:cs="Times New Roman"/>
          <w:b/>
          <w:sz w:val="24"/>
          <w:lang w:val="et-EE"/>
        </w:rPr>
        <w:t>5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414C4665" w:rsidR="00223ECF" w:rsidRPr="001909B6" w:rsidRDefault="00C54A83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 Härmand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419C91CA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kohtu</w:t>
      </w:r>
      <w:r w:rsidR="00C54A83">
        <w:rPr>
          <w:rFonts w:ascii="Times New Roman" w:hAnsi="Times New Roman" w:cs="Times New Roman"/>
          <w:sz w:val="24"/>
          <w:lang w:val="et-EE"/>
        </w:rPr>
        <w:t>nik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F36FB"/>
    <w:rsid w:val="004229B0"/>
    <w:rsid w:val="00447AC8"/>
    <w:rsid w:val="005F24FB"/>
    <w:rsid w:val="006C6976"/>
    <w:rsid w:val="007B2A26"/>
    <w:rsid w:val="007C05D9"/>
    <w:rsid w:val="009316E9"/>
    <w:rsid w:val="009F000C"/>
    <w:rsid w:val="00C54A83"/>
    <w:rsid w:val="00CB1006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Linda Rahu</cp:lastModifiedBy>
  <cp:revision>2</cp:revision>
  <dcterms:created xsi:type="dcterms:W3CDTF">2025-01-21T08:31:00Z</dcterms:created>
  <dcterms:modified xsi:type="dcterms:W3CDTF">2025-01-21T08:31:00Z</dcterms:modified>
</cp:coreProperties>
</file>